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4A466" w14:textId="77777777" w:rsidR="004D7D2B" w:rsidRDefault="000F691C" w:rsidP="000F691C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0F691C">
        <w:rPr>
          <w:rFonts w:ascii="Arial" w:hAnsi="Arial" w:cs="Arial"/>
          <w:b/>
          <w:bCs/>
          <w:sz w:val="36"/>
          <w:szCs w:val="36"/>
        </w:rPr>
        <w:t>ESTUDO DE CASO</w:t>
      </w:r>
      <w:r w:rsidR="004D7D2B"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67CA629F" w14:textId="5D289AE8" w:rsidR="00D505A3" w:rsidRPr="000B1B0B" w:rsidRDefault="000B1B0B" w:rsidP="000B1B0B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0B1B0B">
        <w:rPr>
          <w:rFonts w:ascii="Arial" w:hAnsi="Arial" w:cs="Arial"/>
          <w:b/>
          <w:bCs/>
          <w:sz w:val="32"/>
          <w:szCs w:val="32"/>
        </w:rPr>
        <w:t xml:space="preserve">Especificidades Normativas e </w:t>
      </w:r>
      <w:r w:rsidRPr="000B1B0B">
        <w:rPr>
          <w:rFonts w:ascii="Arial" w:hAnsi="Arial" w:cs="Arial"/>
          <w:b/>
          <w:bCs/>
          <w:sz w:val="32"/>
          <w:szCs w:val="32"/>
        </w:rPr>
        <w:t>Informações</w:t>
      </w:r>
      <w:r w:rsidRPr="000B1B0B">
        <w:rPr>
          <w:rFonts w:ascii="Arial" w:hAnsi="Arial" w:cs="Arial"/>
          <w:b/>
          <w:bCs/>
          <w:sz w:val="32"/>
          <w:szCs w:val="32"/>
        </w:rPr>
        <w:t xml:space="preserve"> Exclusivas da DIRPF Produtor Rural</w:t>
      </w:r>
    </w:p>
    <w:p w14:paraId="71E5F3E7" w14:textId="77777777" w:rsidR="000B1B0B" w:rsidRDefault="000B1B0B" w:rsidP="000044FD">
      <w:pPr>
        <w:rPr>
          <w:rFonts w:ascii="Arial" w:hAnsi="Arial" w:cs="Arial"/>
          <w:sz w:val="24"/>
          <w:szCs w:val="24"/>
        </w:rPr>
      </w:pPr>
    </w:p>
    <w:p w14:paraId="78B9F6FD" w14:textId="7777777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O Sr. Carlos Mendes, produtor rural pessoa física, apresenta as seguintes informações referentes ao ano-calendário 2026:</w:t>
      </w:r>
    </w:p>
    <w:p w14:paraId="11454040" w14:textId="77777777" w:rsidR="00343EC4" w:rsidRPr="00343EC4" w:rsidRDefault="00343EC4" w:rsidP="00343EC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Receita bruta da atividade rural: R$ 3.500.000</w:t>
      </w:r>
    </w:p>
    <w:p w14:paraId="28BE7FF0" w14:textId="77777777" w:rsidR="00343EC4" w:rsidRPr="00343EC4" w:rsidRDefault="00343EC4" w:rsidP="00343EC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Despesas de custeio pagas: R$ 1.800.000</w:t>
      </w:r>
    </w:p>
    <w:p w14:paraId="2F3EE5DE" w14:textId="77777777" w:rsidR="00343EC4" w:rsidRPr="00343EC4" w:rsidRDefault="00343EC4" w:rsidP="00343EC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Investimento em implementos agrícolas: R$ 400.000</w:t>
      </w:r>
    </w:p>
    <w:p w14:paraId="1B053AA9" w14:textId="77777777" w:rsidR="00343EC4" w:rsidRPr="00343EC4" w:rsidRDefault="00343EC4" w:rsidP="00343EC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Estoque inicial: R$ 300.000</w:t>
      </w:r>
    </w:p>
    <w:p w14:paraId="32A82409" w14:textId="77777777" w:rsidR="00343EC4" w:rsidRPr="00343EC4" w:rsidRDefault="00343EC4" w:rsidP="00343EC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Estoque final: R$ 500.000</w:t>
      </w:r>
    </w:p>
    <w:p w14:paraId="777B4169" w14:textId="77777777" w:rsidR="00343EC4" w:rsidRPr="00343EC4" w:rsidRDefault="00343EC4" w:rsidP="00343EC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Prejuízo rural acumulado: R$ 600.000</w:t>
      </w:r>
    </w:p>
    <w:p w14:paraId="4E8958AC" w14:textId="77777777" w:rsidR="00343EC4" w:rsidRPr="00343EC4" w:rsidRDefault="00343EC4" w:rsidP="00343EC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Receita de arrendamento recebido: R$ 250.000</w:t>
      </w:r>
    </w:p>
    <w:p w14:paraId="061B9E52" w14:textId="77777777" w:rsidR="00343EC4" w:rsidRPr="00343EC4" w:rsidRDefault="00343EC4" w:rsidP="00343EC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Alienação de parte do imóvel rural (VTN declarado no ITR: R$ 2.000.000; venda por R$ 3.200.000)</w:t>
      </w:r>
    </w:p>
    <w:p w14:paraId="6C956F7A" w14:textId="77777777" w:rsidR="00343EC4" w:rsidRPr="00343EC4" w:rsidRDefault="00343EC4" w:rsidP="00343EC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Mantém livro-caixa regular</w:t>
      </w:r>
    </w:p>
    <w:p w14:paraId="3BE2844C" w14:textId="5829514A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</w:p>
    <w:p w14:paraId="7BFA1D84" w14:textId="77777777" w:rsidR="00343EC4" w:rsidRP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  <w:r w:rsidRPr="00343EC4">
        <w:rPr>
          <w:rFonts w:ascii="Arial" w:hAnsi="Arial" w:cs="Arial"/>
          <w:b/>
          <w:bCs/>
          <w:sz w:val="24"/>
          <w:szCs w:val="24"/>
        </w:rPr>
        <w:t>QUESTÕES</w:t>
      </w:r>
    </w:p>
    <w:p w14:paraId="454B3CDA" w14:textId="442075A0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</w:p>
    <w:p w14:paraId="726A403F" w14:textId="77777777" w:rsidR="00343EC4" w:rsidRP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  <w:r w:rsidRPr="00343EC4">
        <w:rPr>
          <w:rFonts w:ascii="Arial" w:hAnsi="Arial" w:cs="Arial"/>
          <w:b/>
          <w:bCs/>
          <w:sz w:val="24"/>
          <w:szCs w:val="24"/>
        </w:rPr>
        <w:t>1. A ficha “Atividade Rural” da DIRPF destina-se a:</w:t>
      </w:r>
    </w:p>
    <w:p w14:paraId="712FB4E8" w14:textId="7777777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A) Declarar apenas receitas agrícolas.</w:t>
      </w:r>
      <w:r w:rsidRPr="00343EC4">
        <w:rPr>
          <w:rFonts w:ascii="Arial" w:hAnsi="Arial" w:cs="Arial"/>
          <w:sz w:val="24"/>
          <w:szCs w:val="24"/>
        </w:rPr>
        <w:br/>
        <w:t>B) Apurar resultado específico da atividade rural.</w:t>
      </w:r>
      <w:r w:rsidRPr="00343EC4">
        <w:rPr>
          <w:rFonts w:ascii="Arial" w:hAnsi="Arial" w:cs="Arial"/>
          <w:sz w:val="24"/>
          <w:szCs w:val="24"/>
        </w:rPr>
        <w:br/>
        <w:t>C) Informar apenas ITR.</w:t>
      </w:r>
      <w:r w:rsidRPr="00343EC4">
        <w:rPr>
          <w:rFonts w:ascii="Arial" w:hAnsi="Arial" w:cs="Arial"/>
          <w:sz w:val="24"/>
          <w:szCs w:val="24"/>
        </w:rPr>
        <w:br/>
        <w:t>D) Substituir livro-caixa.</w:t>
      </w:r>
    </w:p>
    <w:p w14:paraId="5D2E570A" w14:textId="2C4D4AA0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</w:p>
    <w:p w14:paraId="55CE15BD" w14:textId="77777777" w:rsidR="00343EC4" w:rsidRP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  <w:r w:rsidRPr="00343EC4">
        <w:rPr>
          <w:rFonts w:ascii="Arial" w:hAnsi="Arial" w:cs="Arial"/>
          <w:b/>
          <w:bCs/>
          <w:sz w:val="24"/>
          <w:szCs w:val="24"/>
        </w:rPr>
        <w:t>2. O resultado da atividade rural na DIRPF é apurado pelo regime:</w:t>
      </w:r>
    </w:p>
    <w:p w14:paraId="5E24DE35" w14:textId="7777777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A) Competência obrigatória.</w:t>
      </w:r>
      <w:r w:rsidRPr="00343EC4">
        <w:rPr>
          <w:rFonts w:ascii="Arial" w:hAnsi="Arial" w:cs="Arial"/>
          <w:sz w:val="24"/>
          <w:szCs w:val="24"/>
        </w:rPr>
        <w:br/>
        <w:t>B) Caixa (receitas recebidas e despesas pagas).</w:t>
      </w:r>
      <w:r w:rsidRPr="00343EC4">
        <w:rPr>
          <w:rFonts w:ascii="Arial" w:hAnsi="Arial" w:cs="Arial"/>
          <w:sz w:val="24"/>
          <w:szCs w:val="24"/>
        </w:rPr>
        <w:br/>
        <w:t>C) Arbitramento fixo.</w:t>
      </w:r>
      <w:r w:rsidRPr="00343EC4">
        <w:rPr>
          <w:rFonts w:ascii="Arial" w:hAnsi="Arial" w:cs="Arial"/>
          <w:sz w:val="24"/>
          <w:szCs w:val="24"/>
        </w:rPr>
        <w:br/>
        <w:t>D) Percentual presumido obrigatório.</w:t>
      </w:r>
    </w:p>
    <w:p w14:paraId="4E47A3FE" w14:textId="2C34AB40" w:rsid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</w:p>
    <w:p w14:paraId="3B49D890" w14:textId="77777777" w:rsidR="00B76D99" w:rsidRDefault="00B76D99" w:rsidP="00343EC4">
      <w:pPr>
        <w:rPr>
          <w:rFonts w:ascii="Arial" w:hAnsi="Arial" w:cs="Arial"/>
          <w:b/>
          <w:bCs/>
          <w:sz w:val="24"/>
          <w:szCs w:val="24"/>
        </w:rPr>
      </w:pPr>
    </w:p>
    <w:p w14:paraId="4BA3401E" w14:textId="77777777" w:rsidR="00B76D99" w:rsidRDefault="00B76D99" w:rsidP="00343EC4">
      <w:pPr>
        <w:rPr>
          <w:rFonts w:ascii="Arial" w:hAnsi="Arial" w:cs="Arial"/>
          <w:b/>
          <w:bCs/>
          <w:sz w:val="24"/>
          <w:szCs w:val="24"/>
        </w:rPr>
      </w:pPr>
    </w:p>
    <w:p w14:paraId="2C2A2563" w14:textId="77777777" w:rsidR="00B76D99" w:rsidRPr="00343EC4" w:rsidRDefault="00B76D99" w:rsidP="00343EC4">
      <w:pPr>
        <w:rPr>
          <w:rFonts w:ascii="Arial" w:hAnsi="Arial" w:cs="Arial"/>
          <w:sz w:val="24"/>
          <w:szCs w:val="24"/>
        </w:rPr>
      </w:pPr>
    </w:p>
    <w:p w14:paraId="2D6B1C52" w14:textId="77777777" w:rsidR="00343EC4" w:rsidRP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  <w:r w:rsidRPr="00343EC4">
        <w:rPr>
          <w:rFonts w:ascii="Arial" w:hAnsi="Arial" w:cs="Arial"/>
          <w:b/>
          <w:bCs/>
          <w:sz w:val="24"/>
          <w:szCs w:val="24"/>
        </w:rPr>
        <w:lastRenderedPageBreak/>
        <w:t>3. O investimento em implementos agrícolas (R$ 400.000) na pessoa física pode ser:</w:t>
      </w:r>
    </w:p>
    <w:p w14:paraId="012A2F7D" w14:textId="7777777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A) Depreciado obrigatoriamente.</w:t>
      </w:r>
      <w:r w:rsidRPr="00343EC4">
        <w:rPr>
          <w:rFonts w:ascii="Arial" w:hAnsi="Arial" w:cs="Arial"/>
          <w:sz w:val="24"/>
          <w:szCs w:val="24"/>
        </w:rPr>
        <w:br/>
        <w:t>B) Deduzido integralmente como investimento no livro-caixa.</w:t>
      </w:r>
      <w:r w:rsidRPr="00343EC4">
        <w:rPr>
          <w:rFonts w:ascii="Arial" w:hAnsi="Arial" w:cs="Arial"/>
          <w:sz w:val="24"/>
          <w:szCs w:val="24"/>
        </w:rPr>
        <w:br/>
        <w:t>C) Não dedutível.</w:t>
      </w:r>
      <w:r w:rsidRPr="00343EC4">
        <w:rPr>
          <w:rFonts w:ascii="Arial" w:hAnsi="Arial" w:cs="Arial"/>
          <w:sz w:val="24"/>
          <w:szCs w:val="24"/>
        </w:rPr>
        <w:br/>
        <w:t>D) Tratado como despesa pessoal.</w:t>
      </w:r>
    </w:p>
    <w:p w14:paraId="3EF67C31" w14:textId="7B9A88E5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</w:p>
    <w:p w14:paraId="1107363A" w14:textId="77777777" w:rsidR="00343EC4" w:rsidRP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  <w:r w:rsidRPr="00343EC4">
        <w:rPr>
          <w:rFonts w:ascii="Arial" w:hAnsi="Arial" w:cs="Arial"/>
          <w:b/>
          <w:bCs/>
          <w:sz w:val="24"/>
          <w:szCs w:val="24"/>
        </w:rPr>
        <w:t>4. A variação de estoques (300.000 → 500.000) implica:</w:t>
      </w:r>
    </w:p>
    <w:p w14:paraId="5CB7FB0D" w14:textId="7777777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A) Redução do resultado rural.</w:t>
      </w:r>
      <w:r w:rsidRPr="00343EC4">
        <w:rPr>
          <w:rFonts w:ascii="Arial" w:hAnsi="Arial" w:cs="Arial"/>
          <w:sz w:val="24"/>
          <w:szCs w:val="24"/>
        </w:rPr>
        <w:br/>
        <w:t>B) Aumento do resultado tributável.</w:t>
      </w:r>
      <w:r w:rsidRPr="00343EC4">
        <w:rPr>
          <w:rFonts w:ascii="Arial" w:hAnsi="Arial" w:cs="Arial"/>
          <w:sz w:val="24"/>
          <w:szCs w:val="24"/>
        </w:rPr>
        <w:br/>
        <w:t>C) Irrelevância fiscal.</w:t>
      </w:r>
      <w:r w:rsidRPr="00343EC4">
        <w:rPr>
          <w:rFonts w:ascii="Arial" w:hAnsi="Arial" w:cs="Arial"/>
          <w:sz w:val="24"/>
          <w:szCs w:val="24"/>
        </w:rPr>
        <w:br/>
        <w:t>D) Isenção automática.</w:t>
      </w:r>
    </w:p>
    <w:p w14:paraId="4757540F" w14:textId="7282A071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</w:p>
    <w:p w14:paraId="7C409617" w14:textId="77777777" w:rsidR="00343EC4" w:rsidRP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  <w:r w:rsidRPr="00343EC4">
        <w:rPr>
          <w:rFonts w:ascii="Arial" w:hAnsi="Arial" w:cs="Arial"/>
          <w:b/>
          <w:bCs/>
          <w:sz w:val="24"/>
          <w:szCs w:val="24"/>
        </w:rPr>
        <w:t>5. O prejuízo rural acumulado (R$ 600.000) pode ser compensado:</w:t>
      </w:r>
    </w:p>
    <w:p w14:paraId="54CAFDF8" w14:textId="7777777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A) Com qualquer rendimento tributável.</w:t>
      </w:r>
      <w:r w:rsidRPr="00343EC4">
        <w:rPr>
          <w:rFonts w:ascii="Arial" w:hAnsi="Arial" w:cs="Arial"/>
          <w:sz w:val="24"/>
          <w:szCs w:val="24"/>
        </w:rPr>
        <w:br/>
        <w:t>B) Apenas com resultados futuros da atividade rural.</w:t>
      </w:r>
      <w:r w:rsidRPr="00343EC4">
        <w:rPr>
          <w:rFonts w:ascii="Arial" w:hAnsi="Arial" w:cs="Arial"/>
          <w:sz w:val="24"/>
          <w:szCs w:val="24"/>
        </w:rPr>
        <w:br/>
        <w:t>C) Com salário urbano.</w:t>
      </w:r>
      <w:r w:rsidRPr="00343EC4">
        <w:rPr>
          <w:rFonts w:ascii="Arial" w:hAnsi="Arial" w:cs="Arial"/>
          <w:sz w:val="24"/>
          <w:szCs w:val="24"/>
        </w:rPr>
        <w:br/>
        <w:t>D) Com ganho de capital.</w:t>
      </w:r>
    </w:p>
    <w:p w14:paraId="1DB7CA53" w14:textId="1851F495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</w:p>
    <w:p w14:paraId="2ED98E79" w14:textId="77777777" w:rsidR="00343EC4" w:rsidRP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  <w:r w:rsidRPr="00343EC4">
        <w:rPr>
          <w:rFonts w:ascii="Arial" w:hAnsi="Arial" w:cs="Arial"/>
          <w:b/>
          <w:bCs/>
          <w:sz w:val="24"/>
          <w:szCs w:val="24"/>
        </w:rPr>
        <w:t>6. A receita de arrendamento (R$ 250.000) deve ser declarada:</w:t>
      </w:r>
    </w:p>
    <w:p w14:paraId="6B3B73E6" w14:textId="7777777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A) Na ficha Atividade Rural.</w:t>
      </w:r>
      <w:r w:rsidRPr="00343EC4">
        <w:rPr>
          <w:rFonts w:ascii="Arial" w:hAnsi="Arial" w:cs="Arial"/>
          <w:sz w:val="24"/>
          <w:szCs w:val="24"/>
        </w:rPr>
        <w:br/>
        <w:t>B) Como rendimento tributável comum.</w:t>
      </w:r>
      <w:r w:rsidRPr="00343EC4">
        <w:rPr>
          <w:rFonts w:ascii="Arial" w:hAnsi="Arial" w:cs="Arial"/>
          <w:sz w:val="24"/>
          <w:szCs w:val="24"/>
        </w:rPr>
        <w:br/>
        <w:t>C) Como ganho de capital.</w:t>
      </w:r>
      <w:r w:rsidRPr="00343EC4">
        <w:rPr>
          <w:rFonts w:ascii="Arial" w:hAnsi="Arial" w:cs="Arial"/>
          <w:sz w:val="24"/>
          <w:szCs w:val="24"/>
        </w:rPr>
        <w:br/>
        <w:t>D) Como isento.</w:t>
      </w:r>
    </w:p>
    <w:p w14:paraId="0F74538E" w14:textId="1B20B06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</w:p>
    <w:p w14:paraId="7CB627E7" w14:textId="77777777" w:rsidR="00343EC4" w:rsidRP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  <w:r w:rsidRPr="00343EC4">
        <w:rPr>
          <w:rFonts w:ascii="Arial" w:hAnsi="Arial" w:cs="Arial"/>
          <w:b/>
          <w:bCs/>
          <w:sz w:val="24"/>
          <w:szCs w:val="24"/>
        </w:rPr>
        <w:t>7. Na alienação parcial do imóvel rural, o ganho de capital será apurado considerando:</w:t>
      </w:r>
    </w:p>
    <w:p w14:paraId="7325C765" w14:textId="7777777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A) Valor contábil histórico.</w:t>
      </w:r>
      <w:r w:rsidRPr="00343EC4">
        <w:rPr>
          <w:rFonts w:ascii="Arial" w:hAnsi="Arial" w:cs="Arial"/>
          <w:sz w:val="24"/>
          <w:szCs w:val="24"/>
        </w:rPr>
        <w:br/>
        <w:t>B) Valor da Terra Nua (VTN) proporcional.</w:t>
      </w:r>
      <w:r w:rsidRPr="00343EC4">
        <w:rPr>
          <w:rFonts w:ascii="Arial" w:hAnsi="Arial" w:cs="Arial"/>
          <w:sz w:val="24"/>
          <w:szCs w:val="24"/>
        </w:rPr>
        <w:br/>
        <w:t>C) Receita operacional.</w:t>
      </w:r>
      <w:r w:rsidRPr="00343EC4">
        <w:rPr>
          <w:rFonts w:ascii="Arial" w:hAnsi="Arial" w:cs="Arial"/>
          <w:sz w:val="24"/>
          <w:szCs w:val="24"/>
        </w:rPr>
        <w:br/>
        <w:t>D) Estoque final.</w:t>
      </w:r>
    </w:p>
    <w:p w14:paraId="63758F6F" w14:textId="77777777" w:rsidR="00B76D99" w:rsidRDefault="00B76D99" w:rsidP="00343EC4">
      <w:pPr>
        <w:rPr>
          <w:rFonts w:ascii="Arial" w:hAnsi="Arial" w:cs="Arial"/>
          <w:b/>
          <w:bCs/>
          <w:sz w:val="24"/>
          <w:szCs w:val="24"/>
        </w:rPr>
      </w:pPr>
    </w:p>
    <w:p w14:paraId="07BF0C6B" w14:textId="15EA957D" w:rsidR="00343EC4" w:rsidRP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  <w:r w:rsidRPr="00343EC4">
        <w:rPr>
          <w:rFonts w:ascii="Arial" w:hAnsi="Arial" w:cs="Arial"/>
          <w:b/>
          <w:bCs/>
          <w:sz w:val="24"/>
          <w:szCs w:val="24"/>
        </w:rPr>
        <w:t>8. O ganho na venda do imóvel rural será tributado como:</w:t>
      </w:r>
    </w:p>
    <w:p w14:paraId="474C0A69" w14:textId="7777777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A) Resultado da atividade rural.</w:t>
      </w:r>
      <w:r w:rsidRPr="00343EC4">
        <w:rPr>
          <w:rFonts w:ascii="Arial" w:hAnsi="Arial" w:cs="Arial"/>
          <w:sz w:val="24"/>
          <w:szCs w:val="24"/>
        </w:rPr>
        <w:br/>
        <w:t>B) Rendimento isento.</w:t>
      </w:r>
      <w:r w:rsidRPr="00343EC4">
        <w:rPr>
          <w:rFonts w:ascii="Arial" w:hAnsi="Arial" w:cs="Arial"/>
          <w:sz w:val="24"/>
          <w:szCs w:val="24"/>
        </w:rPr>
        <w:br/>
        <w:t>C) Ganho de capital com alíquotas progressivas.</w:t>
      </w:r>
      <w:r w:rsidRPr="00343EC4">
        <w:rPr>
          <w:rFonts w:ascii="Arial" w:hAnsi="Arial" w:cs="Arial"/>
          <w:sz w:val="24"/>
          <w:szCs w:val="24"/>
        </w:rPr>
        <w:br/>
        <w:t>D) Receita agrícola.</w:t>
      </w:r>
    </w:p>
    <w:p w14:paraId="46CB7017" w14:textId="6AC30755" w:rsid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</w:p>
    <w:p w14:paraId="2E4E0FF6" w14:textId="77777777" w:rsidR="00B76D99" w:rsidRPr="00343EC4" w:rsidRDefault="00B76D99" w:rsidP="00343EC4">
      <w:pPr>
        <w:rPr>
          <w:rFonts w:ascii="Arial" w:hAnsi="Arial" w:cs="Arial"/>
          <w:sz w:val="24"/>
          <w:szCs w:val="24"/>
        </w:rPr>
      </w:pPr>
    </w:p>
    <w:p w14:paraId="0597F7A1" w14:textId="77777777" w:rsidR="00343EC4" w:rsidRP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  <w:r w:rsidRPr="00343EC4">
        <w:rPr>
          <w:rFonts w:ascii="Arial" w:hAnsi="Arial" w:cs="Arial"/>
          <w:b/>
          <w:bCs/>
          <w:sz w:val="24"/>
          <w:szCs w:val="24"/>
        </w:rPr>
        <w:lastRenderedPageBreak/>
        <w:t>9. O livro-caixa rural deve conter:</w:t>
      </w:r>
    </w:p>
    <w:p w14:paraId="320383BA" w14:textId="7777777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A) Apenas receitas.</w:t>
      </w:r>
      <w:r w:rsidRPr="00343EC4">
        <w:rPr>
          <w:rFonts w:ascii="Arial" w:hAnsi="Arial" w:cs="Arial"/>
          <w:sz w:val="24"/>
          <w:szCs w:val="24"/>
        </w:rPr>
        <w:br/>
        <w:t>B) Receitas, despesas e investimentos vinculados à atividade.</w:t>
      </w:r>
      <w:r w:rsidRPr="00343EC4">
        <w:rPr>
          <w:rFonts w:ascii="Arial" w:hAnsi="Arial" w:cs="Arial"/>
          <w:sz w:val="24"/>
          <w:szCs w:val="24"/>
        </w:rPr>
        <w:br/>
        <w:t>C) Despesas pessoais.</w:t>
      </w:r>
      <w:r w:rsidRPr="00343EC4">
        <w:rPr>
          <w:rFonts w:ascii="Arial" w:hAnsi="Arial" w:cs="Arial"/>
          <w:sz w:val="24"/>
          <w:szCs w:val="24"/>
        </w:rPr>
        <w:br/>
        <w:t>D) Apenas estoque.</w:t>
      </w:r>
    </w:p>
    <w:p w14:paraId="1B331C36" w14:textId="56FD2CCE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</w:p>
    <w:p w14:paraId="12CE0003" w14:textId="77777777" w:rsidR="00343EC4" w:rsidRP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  <w:r w:rsidRPr="00343EC4">
        <w:rPr>
          <w:rFonts w:ascii="Arial" w:hAnsi="Arial" w:cs="Arial"/>
          <w:b/>
          <w:bCs/>
          <w:sz w:val="24"/>
          <w:szCs w:val="24"/>
        </w:rPr>
        <w:t>10. A omissão de receitas pode ser identificada pela Receita Federal mediante cruzamento com:</w:t>
      </w:r>
    </w:p>
    <w:p w14:paraId="03E33601" w14:textId="7777777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A) Cadastro eleitoral.</w:t>
      </w:r>
      <w:r w:rsidRPr="00343EC4">
        <w:rPr>
          <w:rFonts w:ascii="Arial" w:hAnsi="Arial" w:cs="Arial"/>
          <w:sz w:val="24"/>
          <w:szCs w:val="24"/>
        </w:rPr>
        <w:br/>
        <w:t>B) Notas fiscais eletrônicas e declarações de adquirentes.</w:t>
      </w:r>
      <w:r w:rsidRPr="00343EC4">
        <w:rPr>
          <w:rFonts w:ascii="Arial" w:hAnsi="Arial" w:cs="Arial"/>
          <w:sz w:val="24"/>
          <w:szCs w:val="24"/>
        </w:rPr>
        <w:br/>
        <w:t>C) Certidão de nascimento.</w:t>
      </w:r>
      <w:r w:rsidRPr="00343EC4">
        <w:rPr>
          <w:rFonts w:ascii="Arial" w:hAnsi="Arial" w:cs="Arial"/>
          <w:sz w:val="24"/>
          <w:szCs w:val="24"/>
        </w:rPr>
        <w:br/>
        <w:t>D) INSS urbano.</w:t>
      </w:r>
    </w:p>
    <w:p w14:paraId="1CA9CE34" w14:textId="49ACCE60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</w:p>
    <w:p w14:paraId="3958703E" w14:textId="77777777" w:rsidR="00343EC4" w:rsidRP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  <w:r w:rsidRPr="00343EC4">
        <w:rPr>
          <w:rFonts w:ascii="Arial" w:hAnsi="Arial" w:cs="Arial"/>
          <w:b/>
          <w:bCs/>
          <w:sz w:val="24"/>
          <w:szCs w:val="24"/>
        </w:rPr>
        <w:t>11. O produtor pode optar por tributação simplificada correspondente a:</w:t>
      </w:r>
    </w:p>
    <w:p w14:paraId="10D6BBB7" w14:textId="7777777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A) 8% da receita bruta.</w:t>
      </w:r>
      <w:r w:rsidRPr="00343EC4">
        <w:rPr>
          <w:rFonts w:ascii="Arial" w:hAnsi="Arial" w:cs="Arial"/>
          <w:sz w:val="24"/>
          <w:szCs w:val="24"/>
        </w:rPr>
        <w:br/>
        <w:t>B) 12% da receita.</w:t>
      </w:r>
      <w:r w:rsidRPr="00343EC4">
        <w:rPr>
          <w:rFonts w:ascii="Arial" w:hAnsi="Arial" w:cs="Arial"/>
          <w:sz w:val="24"/>
          <w:szCs w:val="24"/>
        </w:rPr>
        <w:br/>
        <w:t>C) 20% da receita bruta como base de cálculo.</w:t>
      </w:r>
      <w:r w:rsidRPr="00343EC4">
        <w:rPr>
          <w:rFonts w:ascii="Arial" w:hAnsi="Arial" w:cs="Arial"/>
          <w:sz w:val="24"/>
          <w:szCs w:val="24"/>
        </w:rPr>
        <w:br/>
        <w:t>D) 50% da receita.</w:t>
      </w:r>
    </w:p>
    <w:p w14:paraId="332EDCDE" w14:textId="0576162A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</w:p>
    <w:p w14:paraId="27DBF6B5" w14:textId="77777777" w:rsidR="00343EC4" w:rsidRP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  <w:r w:rsidRPr="00343EC4">
        <w:rPr>
          <w:rFonts w:ascii="Arial" w:hAnsi="Arial" w:cs="Arial"/>
          <w:b/>
          <w:bCs/>
          <w:sz w:val="24"/>
          <w:szCs w:val="24"/>
        </w:rPr>
        <w:t>12. Caso não mantenha escrituração regular, a autoridade fiscal poderá:</w:t>
      </w:r>
    </w:p>
    <w:p w14:paraId="3C945139" w14:textId="7777777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A) Aplicar isenção.</w:t>
      </w:r>
      <w:r w:rsidRPr="00343EC4">
        <w:rPr>
          <w:rFonts w:ascii="Arial" w:hAnsi="Arial" w:cs="Arial"/>
          <w:sz w:val="24"/>
          <w:szCs w:val="24"/>
        </w:rPr>
        <w:br/>
        <w:t>B) Arbitrar o resultado.</w:t>
      </w:r>
      <w:r w:rsidRPr="00343EC4">
        <w:rPr>
          <w:rFonts w:ascii="Arial" w:hAnsi="Arial" w:cs="Arial"/>
          <w:sz w:val="24"/>
          <w:szCs w:val="24"/>
        </w:rPr>
        <w:br/>
        <w:t>C) Considerar sempre prejuízo.</w:t>
      </w:r>
      <w:r w:rsidRPr="00343EC4">
        <w:rPr>
          <w:rFonts w:ascii="Arial" w:hAnsi="Arial" w:cs="Arial"/>
          <w:sz w:val="24"/>
          <w:szCs w:val="24"/>
        </w:rPr>
        <w:br/>
        <w:t>D) Converter em PJ automaticamente.</w:t>
      </w:r>
    </w:p>
    <w:p w14:paraId="1FFF6283" w14:textId="1E3D0235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</w:p>
    <w:p w14:paraId="23731056" w14:textId="77777777" w:rsidR="00343EC4" w:rsidRP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  <w:r w:rsidRPr="00343EC4">
        <w:rPr>
          <w:rFonts w:ascii="Arial" w:hAnsi="Arial" w:cs="Arial"/>
          <w:b/>
          <w:bCs/>
          <w:sz w:val="24"/>
          <w:szCs w:val="24"/>
        </w:rPr>
        <w:t>13. A ficha de bens da DIRPF deve informar:</w:t>
      </w:r>
    </w:p>
    <w:p w14:paraId="1046776E" w14:textId="7777777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A) Apenas imóveis urbanos.</w:t>
      </w:r>
      <w:r w:rsidRPr="00343EC4">
        <w:rPr>
          <w:rFonts w:ascii="Arial" w:hAnsi="Arial" w:cs="Arial"/>
          <w:sz w:val="24"/>
          <w:szCs w:val="24"/>
        </w:rPr>
        <w:br/>
        <w:t>B) Terra, benfeitorias, máquinas e semoventes.</w:t>
      </w:r>
      <w:r w:rsidRPr="00343EC4">
        <w:rPr>
          <w:rFonts w:ascii="Arial" w:hAnsi="Arial" w:cs="Arial"/>
          <w:sz w:val="24"/>
          <w:szCs w:val="24"/>
        </w:rPr>
        <w:br/>
        <w:t>C) Apenas valor de mercado.</w:t>
      </w:r>
      <w:r w:rsidRPr="00343EC4">
        <w:rPr>
          <w:rFonts w:ascii="Arial" w:hAnsi="Arial" w:cs="Arial"/>
          <w:sz w:val="24"/>
          <w:szCs w:val="24"/>
        </w:rPr>
        <w:br/>
        <w:t>D) Apenas VTN.</w:t>
      </w:r>
    </w:p>
    <w:p w14:paraId="618F48F5" w14:textId="258A6088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</w:p>
    <w:p w14:paraId="50EEDA69" w14:textId="77777777" w:rsidR="00343EC4" w:rsidRP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  <w:r w:rsidRPr="00343EC4">
        <w:rPr>
          <w:rFonts w:ascii="Arial" w:hAnsi="Arial" w:cs="Arial"/>
          <w:b/>
          <w:bCs/>
          <w:sz w:val="24"/>
          <w:szCs w:val="24"/>
        </w:rPr>
        <w:t>14. A compensação de prejuízo rural não sofre limite percentual anual, mas está restrita a:</w:t>
      </w:r>
    </w:p>
    <w:p w14:paraId="763DCE33" w14:textId="7777777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A) 30% do lucro global.</w:t>
      </w:r>
      <w:r w:rsidRPr="00343EC4">
        <w:rPr>
          <w:rFonts w:ascii="Arial" w:hAnsi="Arial" w:cs="Arial"/>
          <w:sz w:val="24"/>
          <w:szCs w:val="24"/>
        </w:rPr>
        <w:br/>
        <w:t>B) Resultado positivo da própria atividade rural.</w:t>
      </w:r>
      <w:r w:rsidRPr="00343EC4">
        <w:rPr>
          <w:rFonts w:ascii="Arial" w:hAnsi="Arial" w:cs="Arial"/>
          <w:sz w:val="24"/>
          <w:szCs w:val="24"/>
        </w:rPr>
        <w:br/>
        <w:t>C) Receita bruta.</w:t>
      </w:r>
      <w:r w:rsidRPr="00343EC4">
        <w:rPr>
          <w:rFonts w:ascii="Arial" w:hAnsi="Arial" w:cs="Arial"/>
          <w:sz w:val="24"/>
          <w:szCs w:val="24"/>
        </w:rPr>
        <w:br/>
        <w:t>D) Ganho de capital.</w:t>
      </w:r>
    </w:p>
    <w:p w14:paraId="2AD3F2BC" w14:textId="48A5FA80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</w:p>
    <w:p w14:paraId="2013E439" w14:textId="77777777" w:rsidR="00343EC4" w:rsidRPr="00343EC4" w:rsidRDefault="00343EC4" w:rsidP="00343EC4">
      <w:pPr>
        <w:rPr>
          <w:rFonts w:ascii="Arial" w:hAnsi="Arial" w:cs="Arial"/>
          <w:b/>
          <w:bCs/>
          <w:sz w:val="24"/>
          <w:szCs w:val="24"/>
        </w:rPr>
      </w:pPr>
      <w:r w:rsidRPr="00343EC4">
        <w:rPr>
          <w:rFonts w:ascii="Arial" w:hAnsi="Arial" w:cs="Arial"/>
          <w:b/>
          <w:bCs/>
          <w:sz w:val="24"/>
          <w:szCs w:val="24"/>
        </w:rPr>
        <w:lastRenderedPageBreak/>
        <w:t>15. Do ponto de vista acadêmico avançado, o correto preenchimento da ficha “Atividade Rural” na DIRPF possui relevância estratégica porque:</w:t>
      </w:r>
    </w:p>
    <w:p w14:paraId="362734F3" w14:textId="77777777" w:rsidR="00343EC4" w:rsidRPr="00343EC4" w:rsidRDefault="00343EC4" w:rsidP="00343EC4">
      <w:pPr>
        <w:rPr>
          <w:rFonts w:ascii="Arial" w:hAnsi="Arial" w:cs="Arial"/>
          <w:sz w:val="24"/>
          <w:szCs w:val="24"/>
        </w:rPr>
      </w:pPr>
      <w:r w:rsidRPr="00343EC4">
        <w:rPr>
          <w:rFonts w:ascii="Arial" w:hAnsi="Arial" w:cs="Arial"/>
          <w:sz w:val="24"/>
          <w:szCs w:val="24"/>
        </w:rPr>
        <w:t>A) É mero requisito formal.</w:t>
      </w:r>
      <w:r w:rsidRPr="00343EC4">
        <w:rPr>
          <w:rFonts w:ascii="Arial" w:hAnsi="Arial" w:cs="Arial"/>
          <w:sz w:val="24"/>
          <w:szCs w:val="24"/>
        </w:rPr>
        <w:br/>
        <w:t>B) Permite gestão fiscal eficiente, compensação de prejuízos e redução lícita da carga tributária.</w:t>
      </w:r>
      <w:r w:rsidRPr="00343EC4">
        <w:rPr>
          <w:rFonts w:ascii="Arial" w:hAnsi="Arial" w:cs="Arial"/>
          <w:sz w:val="24"/>
          <w:szCs w:val="24"/>
        </w:rPr>
        <w:br/>
        <w:t>C) Não possui impacto financeiro relevante.</w:t>
      </w:r>
      <w:r w:rsidRPr="00343EC4">
        <w:rPr>
          <w:rFonts w:ascii="Arial" w:hAnsi="Arial" w:cs="Arial"/>
          <w:sz w:val="24"/>
          <w:szCs w:val="24"/>
        </w:rPr>
        <w:br/>
        <w:t>D) Substitui planejamento tributário.</w:t>
      </w:r>
    </w:p>
    <w:p w14:paraId="0A26BAA3" w14:textId="77777777" w:rsidR="000B1B0B" w:rsidRDefault="000B1B0B" w:rsidP="000044FD">
      <w:pPr>
        <w:rPr>
          <w:rFonts w:ascii="Arial" w:hAnsi="Arial" w:cs="Arial"/>
          <w:sz w:val="24"/>
          <w:szCs w:val="24"/>
        </w:rPr>
      </w:pPr>
    </w:p>
    <w:p w14:paraId="37DF638B" w14:textId="1E2808B9" w:rsidR="000044FD" w:rsidRPr="000F691C" w:rsidRDefault="000044FD">
      <w:pPr>
        <w:rPr>
          <w:rFonts w:ascii="Arial" w:hAnsi="Arial" w:cs="Arial"/>
          <w:sz w:val="24"/>
          <w:szCs w:val="24"/>
        </w:rPr>
      </w:pPr>
    </w:p>
    <w:sectPr w:rsidR="000044FD" w:rsidRPr="000F691C" w:rsidSect="000F691C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697D2" w14:textId="77777777" w:rsidR="00AC3749" w:rsidRDefault="00AC3749" w:rsidP="00C42CC1">
      <w:pPr>
        <w:spacing w:after="0" w:line="240" w:lineRule="auto"/>
      </w:pPr>
      <w:r>
        <w:separator/>
      </w:r>
    </w:p>
  </w:endnote>
  <w:endnote w:type="continuationSeparator" w:id="0">
    <w:p w14:paraId="5987460B" w14:textId="77777777" w:rsidR="00AC3749" w:rsidRDefault="00AC3749" w:rsidP="00C4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1219" w14:textId="3EB8B479" w:rsidR="00C42CC1" w:rsidRPr="009F252C" w:rsidRDefault="00057E10">
    <w:pPr>
      <w:pStyle w:val="Rodap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Arrendamento e Parceria – Planejamento</w:t>
    </w:r>
    <w:r w:rsidR="00E2712F">
      <w:rPr>
        <w:rFonts w:ascii="Arial" w:hAnsi="Arial" w:cs="Arial"/>
        <w:b/>
        <w:bCs/>
        <w:sz w:val="24"/>
        <w:szCs w:val="24"/>
      </w:rPr>
      <w:t xml:space="preserve">              </w:t>
    </w:r>
    <w:r w:rsidR="003D2386">
      <w:rPr>
        <w:rFonts w:ascii="Arial" w:hAnsi="Arial" w:cs="Arial"/>
        <w:b/>
        <w:bCs/>
        <w:sz w:val="24"/>
        <w:szCs w:val="24"/>
      </w:rPr>
      <w:t xml:space="preserve"> </w:t>
    </w:r>
    <w:r w:rsidR="009F252C" w:rsidRPr="009F252C">
      <w:rPr>
        <w:rFonts w:ascii="Arial" w:hAnsi="Arial" w:cs="Arial"/>
        <w:b/>
        <w:bCs/>
        <w:sz w:val="24"/>
        <w:szCs w:val="24"/>
      </w:rPr>
      <w:t>Prof. Dr. Silvio Aparecido Crepaldi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7E091" w14:textId="77777777" w:rsidR="00AC3749" w:rsidRDefault="00AC3749" w:rsidP="00C42CC1">
      <w:pPr>
        <w:spacing w:after="0" w:line="240" w:lineRule="auto"/>
      </w:pPr>
      <w:r>
        <w:separator/>
      </w:r>
    </w:p>
  </w:footnote>
  <w:footnote w:type="continuationSeparator" w:id="0">
    <w:p w14:paraId="0F48172E" w14:textId="77777777" w:rsidR="00AC3749" w:rsidRDefault="00AC3749" w:rsidP="00C42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357BC"/>
    <w:multiLevelType w:val="multilevel"/>
    <w:tmpl w:val="05A88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CA61FD"/>
    <w:multiLevelType w:val="multilevel"/>
    <w:tmpl w:val="09E85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F97EFF"/>
    <w:multiLevelType w:val="multilevel"/>
    <w:tmpl w:val="826E3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5E5832"/>
    <w:multiLevelType w:val="multilevel"/>
    <w:tmpl w:val="8D58D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37743A"/>
    <w:multiLevelType w:val="multilevel"/>
    <w:tmpl w:val="380EB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6187743">
    <w:abstractNumId w:val="0"/>
  </w:num>
  <w:num w:numId="2" w16cid:durableId="1135686240">
    <w:abstractNumId w:val="2"/>
  </w:num>
  <w:num w:numId="3" w16cid:durableId="233711242">
    <w:abstractNumId w:val="4"/>
  </w:num>
  <w:num w:numId="4" w16cid:durableId="121702489">
    <w:abstractNumId w:val="1"/>
  </w:num>
  <w:num w:numId="5" w16cid:durableId="1429810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91C"/>
    <w:rsid w:val="000044FD"/>
    <w:rsid w:val="00057E10"/>
    <w:rsid w:val="000B1B0B"/>
    <w:rsid w:val="000F691C"/>
    <w:rsid w:val="001037BF"/>
    <w:rsid w:val="00114059"/>
    <w:rsid w:val="001C6275"/>
    <w:rsid w:val="00220BAE"/>
    <w:rsid w:val="00343EC4"/>
    <w:rsid w:val="003D2386"/>
    <w:rsid w:val="004D7D2B"/>
    <w:rsid w:val="00511BAF"/>
    <w:rsid w:val="00556E37"/>
    <w:rsid w:val="00557C2F"/>
    <w:rsid w:val="005E1E6E"/>
    <w:rsid w:val="008A6B23"/>
    <w:rsid w:val="00995341"/>
    <w:rsid w:val="009F252C"/>
    <w:rsid w:val="00A82DEB"/>
    <w:rsid w:val="00AC3749"/>
    <w:rsid w:val="00B76D99"/>
    <w:rsid w:val="00C070FA"/>
    <w:rsid w:val="00C42CC1"/>
    <w:rsid w:val="00D505A3"/>
    <w:rsid w:val="00DC4C22"/>
    <w:rsid w:val="00E12082"/>
    <w:rsid w:val="00E2712F"/>
    <w:rsid w:val="00E5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7E2A3"/>
  <w15:chartTrackingRefBased/>
  <w15:docId w15:val="{7C43BF28-CA47-483B-BBD6-064BF251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F69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F69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F69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F69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F69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F69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F69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F69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F69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F69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F69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F69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F691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F691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F691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F691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F691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F691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F69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F69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F69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F69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F69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F691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F691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F691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F69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F691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F691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C42C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42CC1"/>
  </w:style>
  <w:style w:type="paragraph" w:styleId="Rodap">
    <w:name w:val="footer"/>
    <w:basedOn w:val="Normal"/>
    <w:link w:val="RodapChar"/>
    <w:uiPriority w:val="99"/>
    <w:unhideWhenUsed/>
    <w:rsid w:val="00C42C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4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536</Words>
  <Characters>3106</Characters>
  <Application>Microsoft Office Word</Application>
  <DocSecurity>0</DocSecurity>
  <Lines>115</Lines>
  <Paragraphs>59</Paragraphs>
  <ScaleCrop>false</ScaleCrop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Crepaldi</dc:creator>
  <cp:keywords/>
  <dc:description/>
  <cp:lastModifiedBy>Silvio Crepaldi</cp:lastModifiedBy>
  <cp:revision>4</cp:revision>
  <dcterms:created xsi:type="dcterms:W3CDTF">2026-02-19T14:05:00Z</dcterms:created>
  <dcterms:modified xsi:type="dcterms:W3CDTF">2026-02-19T14:06:00Z</dcterms:modified>
</cp:coreProperties>
</file>